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E4" w:rsidRPr="00226A56" w:rsidRDefault="00A961E4" w:rsidP="00A961E4">
      <w:pPr>
        <w:pStyle w:val="a4"/>
        <w:spacing w:line="360" w:lineRule="auto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>
        <w:rPr>
          <w:b/>
          <w:i/>
          <w:u w:val="single"/>
        </w:rPr>
        <w:t>45</w:t>
      </w:r>
      <w:r w:rsidRPr="00226A56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49</w:t>
      </w:r>
    </w:p>
    <w:p w:rsidR="00A961E4" w:rsidRDefault="00A961E4" w:rsidP="00A961E4">
      <w:pPr>
        <w:pStyle w:val="a4"/>
        <w:spacing w:line="360" w:lineRule="auto"/>
        <w:jc w:val="center"/>
        <w:rPr>
          <w:b/>
        </w:rPr>
      </w:pPr>
    </w:p>
    <w:p w:rsidR="00A961E4" w:rsidRPr="00B66F07" w:rsidRDefault="00A961E4" w:rsidP="00A961E4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  <w:r w:rsidRPr="00B66F07">
        <w:rPr>
          <w:b/>
        </w:rPr>
        <w:t>»</w:t>
      </w:r>
    </w:p>
    <w:p w:rsidR="00A961E4" w:rsidRDefault="00A961E4" w:rsidP="00A961E4">
      <w:pPr>
        <w:pStyle w:val="a4"/>
        <w:ind w:firstLine="539"/>
        <w:jc w:val="both"/>
        <w:rPr>
          <w:sz w:val="24"/>
        </w:rPr>
      </w:pPr>
      <w:r w:rsidRPr="0074029D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74029D">
          <w:rPr>
            <w:sz w:val="24"/>
          </w:rPr>
          <w:t>2004 г</w:t>
        </w:r>
      </w:smartTag>
      <w:r w:rsidRPr="0074029D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74029D">
        <w:rPr>
          <w:sz w:val="24"/>
        </w:rPr>
        <w:t>горэлектросеть</w:t>
      </w:r>
      <w:proofErr w:type="spellEnd"/>
      <w:r w:rsidRPr="0074029D">
        <w:rPr>
          <w:sz w:val="24"/>
        </w:rPr>
        <w:t>» раскрывает следующую информацию:</w:t>
      </w:r>
    </w:p>
    <w:p w:rsidR="00A961E4" w:rsidRPr="0074029D" w:rsidRDefault="00A961E4" w:rsidP="00A961E4">
      <w:pPr>
        <w:pStyle w:val="a4"/>
        <w:ind w:firstLine="539"/>
        <w:jc w:val="both"/>
        <w:rPr>
          <w:sz w:val="24"/>
        </w:rPr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В соответствии с п.4 ст.23.1.Федерального закона № 35-ФЗ «Об электроэнергетике» цены (тарифы) на электрическую энергию для потребителей (кроме населения) не подлежат государственному регулированию</w:t>
      </w:r>
    </w:p>
    <w:p w:rsidR="00A961E4" w:rsidRPr="0074029D" w:rsidRDefault="00A961E4" w:rsidP="00A961E4">
      <w:pPr>
        <w:jc w:val="both"/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74029D">
        <w:rPr>
          <w:u w:val="single"/>
        </w:rPr>
        <w:t>Стоимость электрической энергии с 01.01.20</w:t>
      </w:r>
      <w:r>
        <w:rPr>
          <w:u w:val="single"/>
        </w:rPr>
        <w:t>20</w:t>
      </w:r>
      <w:r w:rsidRPr="0074029D">
        <w:rPr>
          <w:u w:val="single"/>
        </w:rPr>
        <w:t xml:space="preserve"> г. будет складываться из следующих слагаемых: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1. Средневзвешенной стоимости электрической энергии и мощности, приобретенной на ОРЭМ;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2. Цены (тарифов) на инфраструктурные услуги, установленные </w:t>
      </w:r>
      <w:r>
        <w:t>ФАС России</w:t>
      </w:r>
      <w:r w:rsidRPr="0074029D">
        <w:t>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3. Цены (тарифа) на услуги по передаче электрической энергии, установленной регулирующим органом субъекта;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4. Сбытовой надбавки гарантирующего поставщика, установленной регулирующим органом субъекта.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1. Средневзвешенная стоимость электрической энергии и мощности, приобретенной на ОРЭМ (публикуется на официальных сайтах </w:t>
      </w:r>
      <w:hyperlink r:id="rId4" w:history="1">
        <w:r w:rsidRPr="0074029D">
          <w:rPr>
            <w:rStyle w:val="a3"/>
            <w:color w:val="0070C0"/>
          </w:rPr>
          <w:t>www.atsenergo.ru</w:t>
        </w:r>
      </w:hyperlink>
      <w:r w:rsidRPr="0074029D">
        <w:t xml:space="preserve"> и </w:t>
      </w:r>
      <w:hyperlink r:id="rId5" w:history="1">
        <w:r w:rsidRPr="0074029D">
          <w:rPr>
            <w:rStyle w:val="a3"/>
            <w:color w:val="0070C0"/>
            <w:lang w:val="en-US"/>
          </w:rPr>
          <w:t>www</w:t>
        </w:r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bges</w:t>
        </w:r>
        <w:proofErr w:type="spellEnd"/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ru</w:t>
        </w:r>
        <w:proofErr w:type="spellEnd"/>
      </w:hyperlink>
      <w:r w:rsidRPr="0074029D">
        <w:rPr>
          <w:u w:val="single"/>
        </w:rPr>
        <w:t>)</w:t>
      </w:r>
      <w:r w:rsidRPr="0074029D">
        <w:t>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A961E4">
      <w:pPr>
        <w:jc w:val="both"/>
        <w:rPr>
          <w:color w:val="0070C0"/>
        </w:rPr>
      </w:pPr>
      <w:r w:rsidRPr="0074029D">
        <w:t xml:space="preserve">        2. Тарифы на инфраструктурные услуги размещены на официальном сайте Федеральной антимонопольной службы Российской Федерации </w:t>
      </w:r>
      <w:hyperlink r:id="rId6" w:history="1">
        <w:r w:rsidRPr="0074029D">
          <w:rPr>
            <w:rStyle w:val="a3"/>
            <w:lang w:val="en-US"/>
          </w:rPr>
          <w:t>www</w:t>
        </w:r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fas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</w:rPr>
          <w:t>gov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ru</w:t>
        </w:r>
        <w:proofErr w:type="spellEnd"/>
      </w:hyperlink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A961E4" w:rsidRDefault="00A961E4" w:rsidP="00A961E4">
      <w:pPr>
        <w:autoSpaceDE w:val="0"/>
        <w:autoSpaceDN w:val="0"/>
        <w:adjustRightInd w:val="0"/>
        <w:rPr>
          <w:color w:val="0070C0"/>
          <w:u w:val="single"/>
        </w:rPr>
      </w:pPr>
      <w:r w:rsidRPr="0074029D">
        <w:t xml:space="preserve">        3. Тарифы на услуги по передаче электрической энергии на 20</w:t>
      </w:r>
      <w:r>
        <w:t>20</w:t>
      </w:r>
      <w:r w:rsidRPr="0074029D">
        <w:t xml:space="preserve"> год, публикуются на официальном сайте Управления Алтайского края по государственному регулированию цен и тарифов  </w:t>
      </w:r>
      <w:hyperlink r:id="rId7" w:history="1">
        <w:r w:rsidRPr="0074029D">
          <w:rPr>
            <w:rStyle w:val="a3"/>
            <w:color w:val="0070C0"/>
          </w:rPr>
          <w:t>www.altaitarif22.ru</w:t>
        </w:r>
      </w:hyperlink>
      <w:r>
        <w:rPr>
          <w:color w:val="0070C0"/>
          <w:u w:val="single"/>
        </w:rPr>
        <w:t xml:space="preserve">, </w:t>
      </w:r>
      <w:r w:rsidRPr="0074029D">
        <w:t>а также на сайте</w:t>
      </w:r>
      <w:r w:rsidRPr="0074029D">
        <w:rPr>
          <w:u w:val="single"/>
        </w:rPr>
        <w:t xml:space="preserve"> </w:t>
      </w:r>
      <w:hyperlink r:id="rId8" w:history="1">
        <w:r w:rsidRPr="00AD03EB">
          <w:rPr>
            <w:rStyle w:val="a3"/>
            <w:lang w:val="en-US"/>
          </w:rPr>
          <w:t>www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pravo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gov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ru</w:t>
        </w:r>
      </w:hyperlink>
      <w:r>
        <w:rPr>
          <w:color w:val="0070C0"/>
          <w:u w:val="single"/>
        </w:rPr>
        <w:t xml:space="preserve">, </w:t>
      </w:r>
      <w:r>
        <w:rPr>
          <w:color w:val="0070C0"/>
          <w:u w:val="single"/>
          <w:lang w:val="en-US"/>
        </w:rPr>
        <w:t>www</w:t>
      </w:r>
      <w:r w:rsidRPr="00A961E4">
        <w:rPr>
          <w:color w:val="0070C0"/>
          <w:u w:val="single"/>
        </w:rPr>
        <w:t>.</w:t>
      </w:r>
      <w:r>
        <w:rPr>
          <w:color w:val="0070C0"/>
          <w:u w:val="single"/>
          <w:lang w:val="en-US"/>
        </w:rPr>
        <w:t>bges</w:t>
      </w:r>
      <w:r w:rsidRPr="00A961E4">
        <w:rPr>
          <w:color w:val="0070C0"/>
          <w:u w:val="single"/>
        </w:rPr>
        <w:t>.</w:t>
      </w:r>
      <w:r>
        <w:rPr>
          <w:color w:val="0070C0"/>
          <w:u w:val="single"/>
          <w:lang w:val="en-US"/>
        </w:rPr>
        <w:t>ru</w:t>
      </w:r>
    </w:p>
    <w:p w:rsidR="00A961E4" w:rsidRDefault="00A961E4" w:rsidP="00A961E4">
      <w:pPr>
        <w:autoSpaceDE w:val="0"/>
        <w:autoSpaceDN w:val="0"/>
        <w:adjustRightInd w:val="0"/>
        <w:rPr>
          <w:color w:val="0070C0"/>
          <w:u w:val="single"/>
        </w:rPr>
      </w:pPr>
    </w:p>
    <w:p w:rsidR="00A961E4" w:rsidRDefault="00A961E4" w:rsidP="00A961E4">
      <w:pPr>
        <w:ind w:firstLine="709"/>
        <w:jc w:val="both"/>
      </w:pPr>
      <w:r>
        <w:t xml:space="preserve">В соответствии с Решением № </w:t>
      </w:r>
      <w:r w:rsidRPr="00A961E4">
        <w:t>589</w:t>
      </w:r>
      <w:r w:rsidRPr="0074029D">
        <w:t xml:space="preserve"> от 2</w:t>
      </w:r>
      <w:r w:rsidRPr="00A961E4">
        <w:t>7</w:t>
      </w:r>
      <w:r w:rsidRPr="0074029D">
        <w:t>.12.201</w:t>
      </w:r>
      <w:r w:rsidRPr="00A961E4">
        <w:t>9</w:t>
      </w:r>
      <w:r w:rsidRPr="0074029D">
        <w:t xml:space="preserve"> Управления Алтайского края по государственному регулированию цен и тарифов (опубликовано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ru</w:t>
      </w:r>
      <w:proofErr w:type="spellEnd"/>
      <w:r w:rsidRPr="0074029D">
        <w:t>) установлен</w:t>
      </w:r>
      <w:r>
        <w:t>ы единые (котловые) тарифы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 на территории Алтайского края</w:t>
      </w:r>
      <w:r w:rsidRPr="0074029D">
        <w:t xml:space="preserve"> на 20</w:t>
      </w:r>
      <w:r w:rsidRPr="00A961E4">
        <w:t>20</w:t>
      </w:r>
      <w:r w:rsidRPr="0074029D">
        <w:t xml:space="preserve"> год в размере (</w:t>
      </w:r>
      <w:r>
        <w:t>тарифы указаны без НДС)</w:t>
      </w:r>
      <w:r w:rsidRPr="0074029D">
        <w:t>:</w:t>
      </w:r>
    </w:p>
    <w:p w:rsidR="00A961E4" w:rsidRDefault="00A961E4" w:rsidP="00A961E4">
      <w:pPr>
        <w:ind w:firstLine="709"/>
        <w:jc w:val="both"/>
      </w:pPr>
    </w:p>
    <w:p w:rsidR="00A961E4" w:rsidRPr="00F336E5" w:rsidRDefault="00A961E4" w:rsidP="00A961E4">
      <w:pPr>
        <w:rPr>
          <w:highlight w:val="yellow"/>
        </w:rPr>
      </w:pPr>
    </w:p>
    <w:tbl>
      <w:tblPr>
        <w:tblW w:w="151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851"/>
        <w:gridCol w:w="708"/>
        <w:gridCol w:w="1134"/>
        <w:gridCol w:w="1134"/>
        <w:gridCol w:w="993"/>
        <w:gridCol w:w="1134"/>
        <w:gridCol w:w="1134"/>
        <w:gridCol w:w="1134"/>
        <w:gridCol w:w="992"/>
        <w:gridCol w:w="1134"/>
        <w:gridCol w:w="992"/>
        <w:gridCol w:w="1139"/>
      </w:tblGrid>
      <w:tr w:rsidR="00A961E4" w:rsidRPr="00F336E5" w:rsidTr="003719EA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Единица</w:t>
            </w:r>
          </w:p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Диапазоны напряжения</w:t>
            </w:r>
          </w:p>
        </w:tc>
      </w:tr>
      <w:tr w:rsidR="00A961E4" w:rsidRPr="00F336E5" w:rsidTr="003719EA">
        <w:trPr>
          <w:trHeight w:val="1477"/>
        </w:trPr>
        <w:tc>
          <w:tcPr>
            <w:tcW w:w="710" w:type="dxa"/>
            <w:vMerge/>
            <w:tcBorders>
              <w:top w:val="nil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CH-I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CH-II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CH-I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CH-II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</w:tr>
      <w:tr w:rsidR="00A961E4" w:rsidRPr="00F336E5" w:rsidTr="003719EA">
        <w:trPr>
          <w:trHeight w:val="192"/>
        </w:trPr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961E4" w:rsidRPr="00F336E5" w:rsidTr="003719EA">
        <w:trPr>
          <w:trHeight w:val="5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28000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0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71">
              <w:rPr>
                <w:rFonts w:ascii="Times New Roman" w:hAnsi="Times New Roman" w:cs="Times New Roman"/>
                <w:sz w:val="22"/>
                <w:szCs w:val="22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44">
              <w:rPr>
                <w:rFonts w:ascii="Times New Roman" w:hAnsi="Times New Roman" w:cs="Times New Roman"/>
                <w:sz w:val="22"/>
                <w:szCs w:val="22"/>
              </w:rPr>
              <w:t>I полугодие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8E26D3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4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</w:p>
        </w:tc>
      </w:tr>
      <w:tr w:rsidR="00A961E4" w:rsidRPr="00F336E5" w:rsidTr="003719EA">
        <w:trPr>
          <w:trHeight w:val="2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28001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bookmarkEnd w:id="1"/>
          </w:p>
        </w:tc>
        <w:tc>
          <w:tcPr>
            <w:tcW w:w="14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CB6071" w:rsidRDefault="00A961E4" w:rsidP="003719E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071">
              <w:rPr>
                <w:rFonts w:ascii="Times New Roman" w:hAnsi="Times New Roman" w:cs="Times New Roman"/>
                <w:sz w:val="22"/>
                <w:szCs w:val="22"/>
              </w:rPr>
              <w:t>Двухставочный</w:t>
            </w:r>
            <w:proofErr w:type="spellEnd"/>
            <w:r w:rsidRPr="00CB6071">
              <w:rPr>
                <w:rFonts w:ascii="Times New Roman" w:hAnsi="Times New Roman" w:cs="Times New Roman"/>
                <w:sz w:val="22"/>
                <w:szCs w:val="22"/>
              </w:rPr>
              <w:t xml:space="preserve"> тариф</w:t>
            </w:r>
          </w:p>
        </w:tc>
      </w:tr>
      <w:tr w:rsidR="00A961E4" w:rsidRPr="00F336E5" w:rsidTr="003719EA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280011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bookmarkEnd w:id="2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71">
              <w:rPr>
                <w:rFonts w:ascii="Times New Roman" w:hAnsi="Times New Roman" w:cs="Times New Roman"/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71">
              <w:rPr>
                <w:rFonts w:ascii="Times New Roman" w:hAnsi="Times New Roman" w:cs="Times New Roman"/>
                <w:sz w:val="20"/>
                <w:szCs w:val="20"/>
              </w:rPr>
              <w:t>руб./ МВт*мес.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513 266,54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743 261,25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899 653,74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1 18</w:t>
            </w:r>
            <w:r>
              <w:rPr>
                <w:sz w:val="20"/>
                <w:szCs w:val="20"/>
              </w:rPr>
              <w:t>1</w:t>
            </w:r>
            <w:r w:rsidRPr="00A65AF0">
              <w:rPr>
                <w:sz w:val="20"/>
                <w:szCs w:val="20"/>
              </w:rPr>
              <w:t> 9</w:t>
            </w:r>
            <w:r>
              <w:rPr>
                <w:sz w:val="20"/>
                <w:szCs w:val="20"/>
              </w:rPr>
              <w:t>74</w:t>
            </w:r>
            <w:r w:rsidRPr="00A65A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A65AF0" w:rsidRDefault="00A961E4" w:rsidP="003719EA">
            <w:pPr>
              <w:ind w:left="-107"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528 497,35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763 071,31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928 937,69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A65AF0" w:rsidRDefault="00A961E4" w:rsidP="003719EA">
            <w:pPr>
              <w:ind w:left="-126" w:right="-108" w:firstLine="18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1 226 630,45</w:t>
            </w:r>
          </w:p>
        </w:tc>
      </w:tr>
      <w:tr w:rsidR="00A961E4" w:rsidRPr="00F336E5" w:rsidTr="003719EA">
        <w:trPr>
          <w:trHeight w:val="199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253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8B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88B">
              <w:rPr>
                <w:rFonts w:ascii="Times New Roman" w:hAnsi="Times New Roman" w:cs="Times New Roman"/>
                <w:sz w:val="22"/>
                <w:szCs w:val="22"/>
              </w:rPr>
              <w:t xml:space="preserve">- ставка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оплату технологического расхода </w:t>
            </w:r>
            <w:r w:rsidRPr="001E588B">
              <w:rPr>
                <w:rFonts w:ascii="Times New Roman" w:hAnsi="Times New Roman" w:cs="Times New Roman"/>
                <w:sz w:val="22"/>
                <w:szCs w:val="22"/>
              </w:rPr>
              <w:t>(потерь) в электрических сетях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B">
              <w:rPr>
                <w:rFonts w:ascii="Times New Roman" w:hAnsi="Times New Roman" w:cs="Times New Roman"/>
                <w:sz w:val="20"/>
                <w:szCs w:val="20"/>
              </w:rPr>
              <w:t>руб./ МВт*ч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70,56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181,73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295,45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602,85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187,18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304,31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620,94</w:t>
            </w:r>
          </w:p>
        </w:tc>
      </w:tr>
      <w:tr w:rsidR="00A961E4" w:rsidRPr="00F336E5" w:rsidTr="003719EA">
        <w:trPr>
          <w:trHeight w:val="22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F336E5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E588B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234"/>
        </w:trPr>
        <w:tc>
          <w:tcPr>
            <w:tcW w:w="7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280012"/>
            <w:r w:rsidRPr="00112B7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bookmarkEnd w:id="3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2B77">
              <w:rPr>
                <w:rFonts w:ascii="Times New Roman" w:hAnsi="Times New Roman" w:cs="Times New Roman"/>
                <w:sz w:val="22"/>
                <w:szCs w:val="22"/>
              </w:rPr>
              <w:t>Одноставочный</w:t>
            </w:r>
            <w:proofErr w:type="spellEnd"/>
            <w:r w:rsidRPr="00112B77">
              <w:rPr>
                <w:rFonts w:ascii="Times New Roman" w:hAnsi="Times New Roman" w:cs="Times New Roman"/>
                <w:sz w:val="22"/>
                <w:szCs w:val="22"/>
              </w:rPr>
              <w:t xml:space="preserve"> тариф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r w:rsidRPr="00112B77">
              <w:rPr>
                <w:rFonts w:ascii="Times New Roman" w:hAnsi="Times New Roman" w:cs="Times New Roman"/>
                <w:sz w:val="20"/>
                <w:szCs w:val="20"/>
              </w:rPr>
              <w:t>кВт*ч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E05732" w:rsidP="00E05732">
            <w:pPr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961E4" w:rsidRPr="00A65AF0">
              <w:rPr>
                <w:sz w:val="20"/>
                <w:szCs w:val="20"/>
              </w:rPr>
              <w:t>87810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53281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76970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2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42</w:t>
            </w:r>
            <w:r w:rsidRPr="00A65AF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E05732" w:rsidP="00E05732">
            <w:pPr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961E4" w:rsidRPr="00A65AF0">
              <w:rPr>
                <w:sz w:val="20"/>
                <w:szCs w:val="20"/>
              </w:rPr>
              <w:t>90356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57727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1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 82102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E05732">
            <w:pPr>
              <w:ind w:right="-90"/>
              <w:jc w:val="center"/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2</w:t>
            </w:r>
            <w:r w:rsidR="00E05732">
              <w:rPr>
                <w:sz w:val="20"/>
                <w:szCs w:val="20"/>
              </w:rPr>
              <w:t>,</w:t>
            </w:r>
            <w:r w:rsidRPr="00A65AF0">
              <w:rPr>
                <w:sz w:val="20"/>
                <w:szCs w:val="20"/>
              </w:rPr>
              <w:t>823</w:t>
            </w:r>
            <w:bookmarkStart w:id="4" w:name="_GoBack"/>
            <w:bookmarkEnd w:id="4"/>
            <w:r w:rsidRPr="00A65AF0">
              <w:rPr>
                <w:sz w:val="20"/>
                <w:szCs w:val="20"/>
              </w:rPr>
              <w:t>81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140"/>
        </w:trPr>
        <w:tc>
          <w:tcPr>
            <w:tcW w:w="7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68"/>
        </w:trPr>
        <w:tc>
          <w:tcPr>
            <w:tcW w:w="7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A65AF0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961E4" w:rsidRPr="00F336E5" w:rsidTr="003719EA">
        <w:trPr>
          <w:trHeight w:val="501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12B77" w:rsidRDefault="00A961E4" w:rsidP="003719EA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C503D9" w:rsidRDefault="00A961E4" w:rsidP="003719EA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3D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1C0A08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A961E4" w:rsidRPr="00F336E5" w:rsidRDefault="00A961E4" w:rsidP="00A961E4">
      <w:pPr>
        <w:ind w:firstLine="698"/>
        <w:jc w:val="center"/>
        <w:rPr>
          <w:rStyle w:val="a7"/>
          <w:b w:val="0"/>
          <w:bCs/>
          <w:highlight w:val="yellow"/>
        </w:rPr>
        <w:sectPr w:rsidR="00A961E4" w:rsidRPr="00F336E5" w:rsidSect="00E74598">
          <w:pgSz w:w="16837" w:h="11905" w:orient="landscape"/>
          <w:pgMar w:top="1701" w:right="819" w:bottom="851" w:left="1134" w:header="454" w:footer="737" w:gutter="0"/>
          <w:cols w:space="720"/>
          <w:noEndnote/>
          <w:docGrid w:linePitch="326"/>
        </w:sectPr>
      </w:pPr>
    </w:p>
    <w:p w:rsidR="00A961E4" w:rsidRPr="0074029D" w:rsidRDefault="00A961E4" w:rsidP="00A961E4">
      <w:pPr>
        <w:jc w:val="both"/>
      </w:pPr>
      <w:r w:rsidRPr="0074029D">
        <w:lastRenderedPageBreak/>
        <w:t xml:space="preserve">        4.Сбытовая надбавка гарантирующего поставщика АО «Барнаульская </w:t>
      </w:r>
      <w:proofErr w:type="spellStart"/>
      <w:r w:rsidRPr="0074029D">
        <w:t>горэлектросеть</w:t>
      </w:r>
      <w:proofErr w:type="spellEnd"/>
      <w:r w:rsidRPr="0074029D">
        <w:t>»</w:t>
      </w:r>
    </w:p>
    <w:p w:rsidR="00A961E4" w:rsidRPr="0074029D" w:rsidRDefault="00A961E4" w:rsidP="00A961E4">
      <w:pPr>
        <w:jc w:val="both"/>
      </w:pPr>
    </w:p>
    <w:p w:rsidR="00A961E4" w:rsidRDefault="00A961E4" w:rsidP="00A961E4">
      <w:pPr>
        <w:ind w:firstLine="709"/>
        <w:jc w:val="both"/>
      </w:pPr>
      <w:r>
        <w:t xml:space="preserve">В соответствии с Решением № </w:t>
      </w:r>
      <w:r w:rsidRPr="00A961E4">
        <w:t>584</w:t>
      </w:r>
      <w:r w:rsidRPr="0074029D">
        <w:t xml:space="preserve"> от 2</w:t>
      </w:r>
      <w:r w:rsidRPr="00A961E4">
        <w:t>7</w:t>
      </w:r>
      <w:r w:rsidRPr="0074029D">
        <w:t>.12.201</w:t>
      </w:r>
      <w:r w:rsidRPr="00A961E4">
        <w:t>9</w:t>
      </w:r>
      <w:r w:rsidRPr="0074029D">
        <w:t xml:space="preserve"> Управления Алтайского края по государственному регулированию цен и тарифов (опубликовано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ru</w:t>
      </w:r>
      <w:proofErr w:type="spellEnd"/>
      <w:r w:rsidRPr="0074029D">
        <w:t xml:space="preserve">) установлена сбытовая надбавка гарантирующего поставщика электрической энергии АО «Барнаульская </w:t>
      </w:r>
      <w:proofErr w:type="spellStart"/>
      <w:r w:rsidRPr="0074029D">
        <w:t>горэлектросеть</w:t>
      </w:r>
      <w:proofErr w:type="spellEnd"/>
      <w:r w:rsidRPr="0074029D">
        <w:t>» на 20</w:t>
      </w:r>
      <w:r w:rsidRPr="00A961E4">
        <w:t>20</w:t>
      </w:r>
      <w:r w:rsidRPr="0074029D">
        <w:t xml:space="preserve"> год в размере (</w:t>
      </w:r>
      <w:r>
        <w:t>тарифы указаны без НДС)</w:t>
      </w:r>
      <w:r w:rsidRPr="0074029D">
        <w:t>:</w:t>
      </w:r>
    </w:p>
    <w:p w:rsidR="00A961E4" w:rsidRPr="000C4277" w:rsidRDefault="00A961E4" w:rsidP="00A961E4">
      <w:pPr>
        <w:jc w:val="right"/>
        <w:rPr>
          <w:szCs w:val="28"/>
        </w:rPr>
      </w:pPr>
      <w:r>
        <w:rPr>
          <w:szCs w:val="28"/>
        </w:rPr>
        <w:t>руб./</w:t>
      </w:r>
      <w:proofErr w:type="spellStart"/>
      <w:r w:rsidRPr="00956560">
        <w:rPr>
          <w:szCs w:val="28"/>
        </w:rPr>
        <w:t>кВт</w:t>
      </w:r>
      <w:r w:rsidRPr="00956560">
        <w:rPr>
          <w:rFonts w:ascii="Cambria Math" w:hAnsi="Cambria Math" w:cs="Cambria Math"/>
          <w:szCs w:val="28"/>
        </w:rPr>
        <w:t>⋅</w:t>
      </w:r>
      <w:r w:rsidRPr="00956560">
        <w:rPr>
          <w:szCs w:val="28"/>
        </w:rPr>
        <w:t>ч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2484"/>
        <w:gridCol w:w="1133"/>
        <w:gridCol w:w="1275"/>
        <w:gridCol w:w="1134"/>
        <w:gridCol w:w="1134"/>
        <w:gridCol w:w="1134"/>
        <w:gridCol w:w="1134"/>
        <w:gridCol w:w="1134"/>
        <w:gridCol w:w="1275"/>
        <w:gridCol w:w="1134"/>
        <w:gridCol w:w="1103"/>
      </w:tblGrid>
      <w:tr w:rsidR="00A961E4" w:rsidRPr="00D0101B" w:rsidTr="00A961E4">
        <w:tc>
          <w:tcPr>
            <w:tcW w:w="486" w:type="dxa"/>
            <w:vMerge w:val="restart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№ п/п</w:t>
            </w:r>
          </w:p>
        </w:tc>
        <w:tc>
          <w:tcPr>
            <w:tcW w:w="2484" w:type="dxa"/>
            <w:vMerge w:val="restart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11590" w:type="dxa"/>
            <w:gridSpan w:val="10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Сбытовая надбавка</w:t>
            </w:r>
          </w:p>
        </w:tc>
      </w:tr>
      <w:tr w:rsidR="00A961E4" w:rsidRPr="00D0101B" w:rsidTr="00A961E4">
        <w:trPr>
          <w:trHeight w:val="2693"/>
        </w:trPr>
        <w:tc>
          <w:tcPr>
            <w:tcW w:w="486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менее 670 кВт</w:t>
            </w:r>
          </w:p>
        </w:tc>
        <w:tc>
          <w:tcPr>
            <w:tcW w:w="2409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от 670 кВт до 10 МВт</w:t>
            </w:r>
          </w:p>
        </w:tc>
        <w:tc>
          <w:tcPr>
            <w:tcW w:w="2237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не менее 10 МВт</w:t>
            </w:r>
          </w:p>
        </w:tc>
      </w:tr>
      <w:tr w:rsidR="00A961E4" w:rsidRPr="00D0101B" w:rsidTr="00A961E4">
        <w:tc>
          <w:tcPr>
            <w:tcW w:w="486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</w:tr>
      <w:tr w:rsidR="00A961E4" w:rsidRPr="00D0101B" w:rsidTr="00A961E4">
        <w:tc>
          <w:tcPr>
            <w:tcW w:w="486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</w:t>
            </w:r>
          </w:p>
        </w:tc>
        <w:tc>
          <w:tcPr>
            <w:tcW w:w="248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12</w:t>
            </w:r>
          </w:p>
        </w:tc>
      </w:tr>
      <w:tr w:rsidR="00A961E4" w:rsidRPr="00D0101B" w:rsidTr="00A961E4">
        <w:trPr>
          <w:trHeight w:val="691"/>
        </w:trPr>
        <w:tc>
          <w:tcPr>
            <w:tcW w:w="486" w:type="dxa"/>
            <w:vAlign w:val="center"/>
          </w:tcPr>
          <w:p w:rsidR="00A961E4" w:rsidRPr="00D0101B" w:rsidRDefault="00A961E4" w:rsidP="00A961E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Pr="00D0101B">
              <w:rPr>
                <w:sz w:val="20"/>
              </w:rPr>
              <w:t>.</w:t>
            </w:r>
          </w:p>
        </w:tc>
        <w:tc>
          <w:tcPr>
            <w:tcW w:w="2484" w:type="dxa"/>
            <w:vAlign w:val="center"/>
          </w:tcPr>
          <w:p w:rsidR="00A961E4" w:rsidRPr="008848F4" w:rsidRDefault="00A961E4" w:rsidP="003719EA">
            <w:r>
              <w:t xml:space="preserve">АО «Барнаульская </w:t>
            </w:r>
            <w:proofErr w:type="spellStart"/>
            <w:r w:rsidRPr="008848F4">
              <w:t>горэлектросеть</w:t>
            </w:r>
            <w:proofErr w:type="spellEnd"/>
            <w:r w:rsidRPr="008848F4">
              <w:t>»</w:t>
            </w:r>
          </w:p>
        </w:tc>
        <w:tc>
          <w:tcPr>
            <w:tcW w:w="1133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0,34340</w:t>
            </w:r>
          </w:p>
        </w:tc>
        <w:tc>
          <w:tcPr>
            <w:tcW w:w="1275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0,35660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0,05535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0,25291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0,35552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0,6588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0,16472</w:t>
            </w:r>
          </w:p>
        </w:tc>
        <w:tc>
          <w:tcPr>
            <w:tcW w:w="1275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0,21961</w:t>
            </w:r>
          </w:p>
        </w:tc>
        <w:tc>
          <w:tcPr>
            <w:tcW w:w="1134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0,11851</w:t>
            </w:r>
          </w:p>
        </w:tc>
        <w:tc>
          <w:tcPr>
            <w:tcW w:w="1103" w:type="dxa"/>
            <w:vAlign w:val="center"/>
          </w:tcPr>
          <w:p w:rsidR="00A961E4" w:rsidRPr="002C2044" w:rsidRDefault="00A961E4" w:rsidP="003719EA">
            <w:pPr>
              <w:jc w:val="center"/>
            </w:pPr>
            <w:r w:rsidRPr="002C2044">
              <w:t>0,21961</w:t>
            </w:r>
          </w:p>
        </w:tc>
      </w:tr>
    </w:tbl>
    <w:p w:rsidR="00A961E4" w:rsidRPr="005C3F58" w:rsidRDefault="00A961E4" w:rsidP="00A961E4">
      <w:pPr>
        <w:jc w:val="both"/>
        <w:rPr>
          <w:b/>
          <w:szCs w:val="28"/>
        </w:rPr>
      </w:pPr>
    </w:p>
    <w:p w:rsidR="00A961E4" w:rsidRDefault="00A961E4" w:rsidP="00A961E4">
      <w:pPr>
        <w:ind w:firstLine="709"/>
        <w:jc w:val="both"/>
      </w:pPr>
    </w:p>
    <w:p w:rsidR="00A961E4" w:rsidRDefault="00A961E4" w:rsidP="00A961E4">
      <w:pPr>
        <w:ind w:firstLine="709"/>
        <w:jc w:val="both"/>
      </w:pPr>
    </w:p>
    <w:p w:rsidR="00A961E4" w:rsidRDefault="00A961E4" w:rsidP="00A961E4">
      <w:pPr>
        <w:ind w:firstLine="709"/>
        <w:jc w:val="both"/>
      </w:pPr>
    </w:p>
    <w:p w:rsidR="0044379C" w:rsidRDefault="0044379C"/>
    <w:sectPr w:rsidR="0044379C" w:rsidSect="00A96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E4"/>
    <w:rsid w:val="0044379C"/>
    <w:rsid w:val="00A961E4"/>
    <w:rsid w:val="00E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4FE35E"/>
  <w15:chartTrackingRefBased/>
  <w15:docId w15:val="{8FDA3E60-E089-498F-9E20-4A8339C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61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1E4"/>
    <w:rPr>
      <w:color w:val="0000FF"/>
      <w:u w:val="single"/>
    </w:rPr>
  </w:style>
  <w:style w:type="paragraph" w:styleId="a4">
    <w:name w:val="Body Text"/>
    <w:basedOn w:val="a"/>
    <w:link w:val="a5"/>
    <w:rsid w:val="00A961E4"/>
    <w:rPr>
      <w:sz w:val="28"/>
    </w:rPr>
  </w:style>
  <w:style w:type="character" w:customStyle="1" w:styleId="a5">
    <w:name w:val="Основной текст Знак"/>
    <w:basedOn w:val="a0"/>
    <w:link w:val="a4"/>
    <w:rsid w:val="00A961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9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961E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961E4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961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96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aitarif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s.gov.ru" TargetMode="External"/><Relationship Id="rId5" Type="http://schemas.openxmlformats.org/officeDocument/2006/relationships/hyperlink" Target="http://www.bges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tsenerg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2</cp:revision>
  <dcterms:created xsi:type="dcterms:W3CDTF">2020-01-13T09:55:00Z</dcterms:created>
  <dcterms:modified xsi:type="dcterms:W3CDTF">2020-01-13T10:06:00Z</dcterms:modified>
</cp:coreProperties>
</file>